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2A1DA7">
        <w:rPr>
          <w:rFonts w:ascii="Palatino Linotype" w:hAnsi="Palatino Linotype" w:cs="Arial"/>
          <w:b/>
          <w:bCs/>
          <w:sz w:val="23"/>
          <w:szCs w:val="23"/>
        </w:rPr>
        <w:t>4779</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61EFF" w:rsidRPr="00161EFF" w:rsidRDefault="00E6179D">
          <w:pPr>
            <w:pStyle w:val="TDC1"/>
            <w:rPr>
              <w:rFonts w:asciiTheme="minorHAnsi" w:eastAsiaTheme="minorEastAsia" w:hAnsiTheme="minorHAnsi"/>
              <w:b w:val="0"/>
              <w:sz w:val="24"/>
              <w:szCs w:val="24"/>
              <w:lang w:eastAsia="es-MX"/>
            </w:rPr>
          </w:pPr>
          <w:r w:rsidRPr="00161EFF">
            <w:rPr>
              <w:sz w:val="24"/>
              <w:szCs w:val="24"/>
            </w:rPr>
            <w:fldChar w:fldCharType="begin"/>
          </w:r>
          <w:r w:rsidRPr="00161EFF">
            <w:rPr>
              <w:sz w:val="24"/>
              <w:szCs w:val="24"/>
            </w:rPr>
            <w:instrText xml:space="preserve"> TOC \o "1-3" \h \z \u </w:instrText>
          </w:r>
          <w:r w:rsidRPr="00161EFF">
            <w:rPr>
              <w:sz w:val="24"/>
              <w:szCs w:val="24"/>
            </w:rPr>
            <w:fldChar w:fldCharType="separate"/>
          </w:r>
          <w:hyperlink w:anchor="_Toc2627872" w:history="1">
            <w:r w:rsidR="00161EFF" w:rsidRPr="00161EFF">
              <w:rPr>
                <w:rStyle w:val="Hipervnculo"/>
                <w:rFonts w:eastAsia="Times New Roman"/>
                <w:sz w:val="24"/>
                <w:szCs w:val="24"/>
              </w:rPr>
              <w:t>I.</w:t>
            </w:r>
            <w:r w:rsidR="00161EFF" w:rsidRPr="00161EFF">
              <w:rPr>
                <w:rFonts w:asciiTheme="minorHAnsi" w:eastAsiaTheme="minorEastAsia" w:hAnsiTheme="minorHAnsi"/>
                <w:b w:val="0"/>
                <w:sz w:val="24"/>
                <w:szCs w:val="24"/>
                <w:lang w:eastAsia="es-MX"/>
              </w:rPr>
              <w:tab/>
            </w:r>
            <w:r w:rsidR="00161EFF" w:rsidRPr="00161EFF">
              <w:rPr>
                <w:rStyle w:val="Hipervnculo"/>
                <w:rFonts w:eastAsia="Times New Roman"/>
                <w:sz w:val="24"/>
                <w:szCs w:val="24"/>
              </w:rPr>
              <w:t>Consideraciones Generales</w:t>
            </w:r>
            <w:r w:rsidR="00161EFF" w:rsidRPr="00161EFF">
              <w:rPr>
                <w:webHidden/>
                <w:sz w:val="24"/>
                <w:szCs w:val="24"/>
              </w:rPr>
              <w:tab/>
            </w:r>
            <w:r w:rsidR="00161EFF" w:rsidRPr="00161EFF">
              <w:rPr>
                <w:webHidden/>
                <w:sz w:val="24"/>
                <w:szCs w:val="24"/>
              </w:rPr>
              <w:fldChar w:fldCharType="begin"/>
            </w:r>
            <w:r w:rsidR="00161EFF" w:rsidRPr="00161EFF">
              <w:rPr>
                <w:webHidden/>
                <w:sz w:val="24"/>
                <w:szCs w:val="24"/>
              </w:rPr>
              <w:instrText xml:space="preserve"> PAGEREF _Toc2627872 \h </w:instrText>
            </w:r>
            <w:r w:rsidR="00161EFF" w:rsidRPr="00161EFF">
              <w:rPr>
                <w:webHidden/>
                <w:sz w:val="24"/>
                <w:szCs w:val="24"/>
              </w:rPr>
            </w:r>
            <w:r w:rsidR="00161EFF" w:rsidRPr="00161EFF">
              <w:rPr>
                <w:webHidden/>
                <w:sz w:val="24"/>
                <w:szCs w:val="24"/>
              </w:rPr>
              <w:fldChar w:fldCharType="separate"/>
            </w:r>
            <w:r w:rsidR="00161EFF" w:rsidRPr="00161EFF">
              <w:rPr>
                <w:webHidden/>
                <w:sz w:val="24"/>
                <w:szCs w:val="24"/>
              </w:rPr>
              <w:t>1</w:t>
            </w:r>
            <w:r w:rsidR="00161EFF" w:rsidRPr="00161EFF">
              <w:rPr>
                <w:webHidden/>
                <w:sz w:val="24"/>
                <w:szCs w:val="24"/>
              </w:rPr>
              <w:fldChar w:fldCharType="end"/>
            </w:r>
          </w:hyperlink>
        </w:p>
        <w:p w:rsidR="00161EFF" w:rsidRPr="00161EFF" w:rsidRDefault="005721F0">
          <w:pPr>
            <w:pStyle w:val="TDC1"/>
            <w:rPr>
              <w:rFonts w:asciiTheme="minorHAnsi" w:eastAsiaTheme="minorEastAsia" w:hAnsiTheme="minorHAnsi"/>
              <w:b w:val="0"/>
              <w:sz w:val="24"/>
              <w:szCs w:val="24"/>
              <w:lang w:eastAsia="es-MX"/>
            </w:rPr>
          </w:pPr>
          <w:hyperlink w:anchor="_Toc2627873" w:history="1">
            <w:r w:rsidR="00161EFF" w:rsidRPr="00161EFF">
              <w:rPr>
                <w:rStyle w:val="Hipervnculo"/>
                <w:rFonts w:eastAsia="Calibri"/>
                <w:sz w:val="24"/>
                <w:szCs w:val="24"/>
                <w:lang w:val="es-ES"/>
              </w:rPr>
              <w:t>II.</w:t>
            </w:r>
            <w:r w:rsidR="00161EFF" w:rsidRPr="00161EFF">
              <w:rPr>
                <w:rFonts w:asciiTheme="minorHAnsi" w:eastAsiaTheme="minorEastAsia" w:hAnsiTheme="minorHAnsi"/>
                <w:b w:val="0"/>
                <w:sz w:val="24"/>
                <w:szCs w:val="24"/>
                <w:lang w:eastAsia="es-MX"/>
              </w:rPr>
              <w:tab/>
            </w:r>
            <w:r w:rsidR="00161EFF" w:rsidRPr="00161EFF">
              <w:rPr>
                <w:rStyle w:val="Hipervnculo"/>
                <w:rFonts w:eastAsia="Calibri"/>
                <w:sz w:val="24"/>
                <w:szCs w:val="24"/>
                <w:lang w:val="es-ES"/>
              </w:rPr>
              <w:t>De los requerimientos planteados en el recurso de revisión.</w:t>
            </w:r>
            <w:r w:rsidR="00161EFF" w:rsidRPr="00161EFF">
              <w:rPr>
                <w:webHidden/>
                <w:sz w:val="24"/>
                <w:szCs w:val="24"/>
              </w:rPr>
              <w:tab/>
            </w:r>
            <w:r w:rsidR="00161EFF" w:rsidRPr="00161EFF">
              <w:rPr>
                <w:webHidden/>
                <w:sz w:val="24"/>
                <w:szCs w:val="24"/>
              </w:rPr>
              <w:fldChar w:fldCharType="begin"/>
            </w:r>
            <w:r w:rsidR="00161EFF" w:rsidRPr="00161EFF">
              <w:rPr>
                <w:webHidden/>
                <w:sz w:val="24"/>
                <w:szCs w:val="24"/>
              </w:rPr>
              <w:instrText xml:space="preserve"> PAGEREF _Toc2627873 \h </w:instrText>
            </w:r>
            <w:r w:rsidR="00161EFF" w:rsidRPr="00161EFF">
              <w:rPr>
                <w:webHidden/>
                <w:sz w:val="24"/>
                <w:szCs w:val="24"/>
              </w:rPr>
            </w:r>
            <w:r w:rsidR="00161EFF" w:rsidRPr="00161EFF">
              <w:rPr>
                <w:webHidden/>
                <w:sz w:val="24"/>
                <w:szCs w:val="24"/>
              </w:rPr>
              <w:fldChar w:fldCharType="separate"/>
            </w:r>
            <w:r w:rsidR="00161EFF" w:rsidRPr="00161EFF">
              <w:rPr>
                <w:webHidden/>
                <w:sz w:val="24"/>
                <w:szCs w:val="24"/>
              </w:rPr>
              <w:t>2</w:t>
            </w:r>
            <w:r w:rsidR="00161EFF" w:rsidRPr="00161EFF">
              <w:rPr>
                <w:webHidden/>
                <w:sz w:val="24"/>
                <w:szCs w:val="24"/>
              </w:rPr>
              <w:fldChar w:fldCharType="end"/>
            </w:r>
          </w:hyperlink>
        </w:p>
        <w:p w:rsidR="00161EFF" w:rsidRPr="00161EFF" w:rsidRDefault="005721F0">
          <w:pPr>
            <w:pStyle w:val="TDC2"/>
            <w:rPr>
              <w:rFonts w:asciiTheme="minorHAnsi" w:eastAsiaTheme="minorEastAsia" w:hAnsiTheme="minorHAnsi"/>
              <w:b w:val="0"/>
              <w:lang w:eastAsia="es-MX"/>
            </w:rPr>
          </w:pPr>
          <w:hyperlink w:anchor="_Toc2627874" w:history="1">
            <w:r w:rsidR="00161EFF" w:rsidRPr="00161EFF">
              <w:rPr>
                <w:rStyle w:val="Hipervnculo"/>
              </w:rPr>
              <w:t>III. Del Derecho de Acceso a la información pública y el deber de motivar.</w:t>
            </w:r>
            <w:r w:rsidR="00161EFF" w:rsidRPr="00161EFF">
              <w:rPr>
                <w:webHidden/>
              </w:rPr>
              <w:tab/>
            </w:r>
            <w:r w:rsidR="00161EFF" w:rsidRPr="00161EFF">
              <w:rPr>
                <w:webHidden/>
              </w:rPr>
              <w:fldChar w:fldCharType="begin"/>
            </w:r>
            <w:r w:rsidR="00161EFF" w:rsidRPr="00161EFF">
              <w:rPr>
                <w:webHidden/>
              </w:rPr>
              <w:instrText xml:space="preserve"> PAGEREF _Toc2627874 \h </w:instrText>
            </w:r>
            <w:r w:rsidR="00161EFF" w:rsidRPr="00161EFF">
              <w:rPr>
                <w:webHidden/>
              </w:rPr>
            </w:r>
            <w:r w:rsidR="00161EFF" w:rsidRPr="00161EFF">
              <w:rPr>
                <w:webHidden/>
              </w:rPr>
              <w:fldChar w:fldCharType="separate"/>
            </w:r>
            <w:r w:rsidR="00161EFF" w:rsidRPr="00161EFF">
              <w:rPr>
                <w:webHidden/>
              </w:rPr>
              <w:t>14</w:t>
            </w:r>
            <w:r w:rsidR="00161EFF" w:rsidRPr="00161EFF">
              <w:rPr>
                <w:webHidden/>
              </w:rPr>
              <w:fldChar w:fldCharType="end"/>
            </w:r>
          </w:hyperlink>
        </w:p>
        <w:p w:rsidR="00161EFF" w:rsidRPr="00161EFF" w:rsidRDefault="005721F0" w:rsidP="00161EFF">
          <w:pPr>
            <w:pStyle w:val="TDC1"/>
            <w:rPr>
              <w:rFonts w:asciiTheme="minorHAnsi" w:eastAsiaTheme="minorEastAsia" w:hAnsiTheme="minorHAnsi"/>
              <w:b w:val="0"/>
              <w:sz w:val="24"/>
              <w:szCs w:val="24"/>
              <w:lang w:eastAsia="es-MX"/>
            </w:rPr>
          </w:pPr>
          <w:hyperlink w:anchor="_Toc2627875" w:history="1">
            <w:r w:rsidR="00161EFF" w:rsidRPr="00161EFF">
              <w:rPr>
                <w:rStyle w:val="Hipervnculo"/>
                <w:rFonts w:eastAsia="Calibri"/>
                <w:sz w:val="24"/>
                <w:szCs w:val="24"/>
              </w:rPr>
              <w:t>IV. Del Pronunciamiento simple</w:t>
            </w:r>
            <w:r w:rsidR="00161EFF" w:rsidRPr="00161EFF">
              <w:rPr>
                <w:webHidden/>
                <w:sz w:val="24"/>
                <w:szCs w:val="24"/>
              </w:rPr>
              <w:tab/>
            </w:r>
            <w:r w:rsidR="00161EFF" w:rsidRPr="00161EFF">
              <w:rPr>
                <w:webHidden/>
                <w:sz w:val="24"/>
                <w:szCs w:val="24"/>
              </w:rPr>
              <w:fldChar w:fldCharType="begin"/>
            </w:r>
            <w:r w:rsidR="00161EFF" w:rsidRPr="00161EFF">
              <w:rPr>
                <w:webHidden/>
                <w:sz w:val="24"/>
                <w:szCs w:val="24"/>
              </w:rPr>
              <w:instrText xml:space="preserve"> PAGEREF _Toc2627875 \h </w:instrText>
            </w:r>
            <w:r w:rsidR="00161EFF" w:rsidRPr="00161EFF">
              <w:rPr>
                <w:webHidden/>
                <w:sz w:val="24"/>
                <w:szCs w:val="24"/>
              </w:rPr>
            </w:r>
            <w:r w:rsidR="00161EFF" w:rsidRPr="00161EFF">
              <w:rPr>
                <w:webHidden/>
                <w:sz w:val="24"/>
                <w:szCs w:val="24"/>
              </w:rPr>
              <w:fldChar w:fldCharType="separate"/>
            </w:r>
            <w:r w:rsidR="00161EFF" w:rsidRPr="00161EFF">
              <w:rPr>
                <w:webHidden/>
                <w:sz w:val="24"/>
                <w:szCs w:val="24"/>
              </w:rPr>
              <w:t>19</w:t>
            </w:r>
            <w:r w:rsidR="00161EFF" w:rsidRPr="00161EFF">
              <w:rPr>
                <w:webHidden/>
                <w:sz w:val="24"/>
                <w:szCs w:val="24"/>
              </w:rPr>
              <w:fldChar w:fldCharType="end"/>
            </w:r>
          </w:hyperlink>
        </w:p>
        <w:p w:rsidR="00161EFF" w:rsidRPr="00161EFF" w:rsidRDefault="005721F0">
          <w:pPr>
            <w:pStyle w:val="TDC1"/>
            <w:rPr>
              <w:rFonts w:asciiTheme="minorHAnsi" w:eastAsiaTheme="minorEastAsia" w:hAnsiTheme="minorHAnsi"/>
              <w:b w:val="0"/>
              <w:sz w:val="24"/>
              <w:szCs w:val="24"/>
              <w:lang w:eastAsia="es-MX"/>
            </w:rPr>
          </w:pPr>
          <w:hyperlink w:anchor="_Toc2627877" w:history="1">
            <w:r w:rsidR="00161EFF" w:rsidRPr="00161EFF">
              <w:rPr>
                <w:rStyle w:val="Hipervnculo"/>
                <w:rFonts w:eastAsia="Calibri"/>
                <w:sz w:val="24"/>
                <w:szCs w:val="24"/>
              </w:rPr>
              <w:t>V. Conclusión.</w:t>
            </w:r>
            <w:r w:rsidR="00161EFF" w:rsidRPr="00161EFF">
              <w:rPr>
                <w:webHidden/>
                <w:sz w:val="24"/>
                <w:szCs w:val="24"/>
              </w:rPr>
              <w:tab/>
            </w:r>
            <w:r w:rsidR="00161EFF" w:rsidRPr="00161EFF">
              <w:rPr>
                <w:webHidden/>
                <w:sz w:val="24"/>
                <w:szCs w:val="24"/>
              </w:rPr>
              <w:fldChar w:fldCharType="begin"/>
            </w:r>
            <w:r w:rsidR="00161EFF" w:rsidRPr="00161EFF">
              <w:rPr>
                <w:webHidden/>
                <w:sz w:val="24"/>
                <w:szCs w:val="24"/>
              </w:rPr>
              <w:instrText xml:space="preserve"> PAGEREF _Toc2627877 \h </w:instrText>
            </w:r>
            <w:r w:rsidR="00161EFF" w:rsidRPr="00161EFF">
              <w:rPr>
                <w:webHidden/>
                <w:sz w:val="24"/>
                <w:szCs w:val="24"/>
              </w:rPr>
            </w:r>
            <w:r w:rsidR="00161EFF" w:rsidRPr="00161EFF">
              <w:rPr>
                <w:webHidden/>
                <w:sz w:val="24"/>
                <w:szCs w:val="24"/>
              </w:rPr>
              <w:fldChar w:fldCharType="separate"/>
            </w:r>
            <w:r w:rsidR="00161EFF" w:rsidRPr="00161EFF">
              <w:rPr>
                <w:webHidden/>
                <w:sz w:val="24"/>
                <w:szCs w:val="24"/>
              </w:rPr>
              <w:t>37</w:t>
            </w:r>
            <w:r w:rsidR="00161EFF" w:rsidRPr="00161EFF">
              <w:rPr>
                <w:webHidden/>
                <w:sz w:val="24"/>
                <w:szCs w:val="24"/>
              </w:rPr>
              <w:fldChar w:fldCharType="end"/>
            </w:r>
          </w:hyperlink>
        </w:p>
        <w:p w:rsidR="00E6179D" w:rsidRPr="00161EFF" w:rsidRDefault="00E6179D" w:rsidP="00B73B30">
          <w:pPr>
            <w:spacing w:line="360" w:lineRule="auto"/>
            <w:rPr>
              <w:rFonts w:ascii="Palatino Linotype" w:hAnsi="Palatino Linotype"/>
              <w:b/>
              <w:sz w:val="24"/>
              <w:szCs w:val="24"/>
            </w:rPr>
          </w:pPr>
          <w:r w:rsidRPr="00161EF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27872"/>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2A1DA7">
        <w:rPr>
          <w:rFonts w:ascii="Palatino Linotype" w:eastAsia="Calibri" w:hAnsi="Palatino Linotype" w:cs="Arial"/>
          <w:sz w:val="24"/>
          <w:szCs w:val="24"/>
        </w:rPr>
        <w:t xml:space="preserve">l </w:t>
      </w:r>
      <w:r w:rsidR="002A1DA7">
        <w:t xml:space="preserve"> </w:t>
      </w:r>
      <w:r w:rsidR="002A1DA7" w:rsidRPr="002A1DA7">
        <w:rPr>
          <w:rFonts w:ascii="Palatino Linotype" w:eastAsia="Calibri" w:hAnsi="Palatino Linotype" w:cs="Arial"/>
          <w:b/>
          <w:sz w:val="24"/>
          <w:szCs w:val="24"/>
        </w:rPr>
        <w:t>Ayuntamiento de Chapultepec</w:t>
      </w:r>
      <w:r w:rsidR="000D647C" w:rsidRPr="002A1DA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2A1DA7">
        <w:rPr>
          <w:rFonts w:ascii="Palatino Linotype" w:hAnsi="Palatino Linotype" w:cs="Arial"/>
          <w:b/>
          <w:bCs/>
          <w:sz w:val="24"/>
          <w:szCs w:val="24"/>
        </w:rPr>
        <w:t>779</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A1DA7">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27873"/>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2A1DA7">
        <w:rPr>
          <w:rFonts w:ascii="Palatino Linotype" w:eastAsia="Calibri" w:hAnsi="Palatino Linotype" w:cs="Times New Roman"/>
          <w:sz w:val="24"/>
          <w:szCs w:val="24"/>
        </w:rPr>
        <w:t xml:space="preserve"> el</w:t>
      </w:r>
      <w:r w:rsidR="002A1DA7" w:rsidRPr="002A1DA7">
        <w:rPr>
          <w:rFonts w:ascii="Palatino Linotype" w:eastAsia="Calibri" w:hAnsi="Palatino Linotype" w:cs="Arial"/>
          <w:b/>
          <w:sz w:val="24"/>
          <w:szCs w:val="24"/>
        </w:rPr>
        <w:t xml:space="preserve"> Ayuntamiento de Chapultepec</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2A1DA7">
      <w:pPr>
        <w:spacing w:line="240" w:lineRule="auto"/>
        <w:ind w:left="851" w:right="850"/>
        <w:jc w:val="right"/>
        <w:rPr>
          <w:rFonts w:ascii="Palatino Linotype" w:hAnsi="Palatino Linotype" w:cs="Arial"/>
          <w:b/>
          <w:sz w:val="24"/>
        </w:rPr>
      </w:pP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Documentos adjuntos: La recurrente adjunto a su solicitud un archivo denominado Preguntas_Alumbrado_Nov_2018.pdf.; mismo que contiene de manera desagregada los requerimientos de la recurrente en los siguientes términos.</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“I.- PRESUPUESTO DEL SISTEMA DE ALUMBRADO PÚBLICO MUNICIPAL.</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1. El importe por concepto de alumbrado público facturado por CFE en el municipio, desglosado ya sea por mes o bimestre, de los años 2013, 2014, 2015, 2016, 201</w:t>
      </w:r>
      <w:r>
        <w:rPr>
          <w:rFonts w:ascii="Palatino Linotype" w:hAnsi="Palatino Linotype" w:cs="Arial"/>
          <w:i/>
          <w:sz w:val="24"/>
          <w:szCs w:val="24"/>
          <w:lang w:val="es-ES_tradnl" w:eastAsia="es-MX"/>
        </w:rPr>
        <w:t xml:space="preserve">7 y los meses que van de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3. La o las partidas presupuestales que se utilizaron y los montos que se erogaron dentro del presupuesto de egresos municipal para el mantenimiento del sistema de alumbrado público durante los años 2013, 2014, 2015, 2016, 2017</w:t>
      </w:r>
      <w:r>
        <w:rPr>
          <w:rFonts w:ascii="Palatino Linotype" w:hAnsi="Palatino Linotype" w:cs="Arial"/>
          <w:i/>
          <w:sz w:val="24"/>
          <w:szCs w:val="24"/>
          <w:lang w:val="es-ES_tradnl" w:eastAsia="es-MX"/>
        </w:rPr>
        <w:t xml:space="preserve"> y los meses que van del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4. La o las partidas presupuestales que se utilizaron y los montos que se pagaron por mes para cubrir la factura por concepto de consumo de energía eléctrica en el sistema de alumbrado público municipal de 2013, 2014, 2015, 2016, 2017</w:t>
      </w:r>
      <w:r>
        <w:rPr>
          <w:rFonts w:ascii="Palatino Linotype" w:hAnsi="Palatino Linotype" w:cs="Arial"/>
          <w:i/>
          <w:sz w:val="24"/>
          <w:szCs w:val="24"/>
          <w:lang w:val="es-ES_tradnl" w:eastAsia="es-MX"/>
        </w:rPr>
        <w:t xml:space="preserve"> y los meses que van del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w:t>
      </w:r>
      <w:r>
        <w:rPr>
          <w:rFonts w:ascii="Palatino Linotype" w:hAnsi="Palatino Linotype" w:cs="Arial"/>
          <w:i/>
          <w:sz w:val="24"/>
          <w:szCs w:val="24"/>
          <w:lang w:val="es-ES_tradnl" w:eastAsia="es-MX"/>
        </w:rPr>
        <w:t xml:space="preserve">ron, corrigieron o arreglaron.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 II.- INFRAESTRUCTURA DE</w:t>
      </w:r>
      <w:r>
        <w:rPr>
          <w:rFonts w:ascii="Palatino Linotype" w:hAnsi="Palatino Linotype" w:cs="Arial"/>
          <w:i/>
          <w:sz w:val="24"/>
          <w:szCs w:val="24"/>
          <w:lang w:val="es-ES_tradnl" w:eastAsia="es-MX"/>
        </w:rPr>
        <w:t xml:space="preserve">L SISTEMA DE ALUMBRADO PÚBLICO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6. Se solicita el censo de alumbrado público de los ejercicios 2016, 2017, 2018 o en su caso, el censo más reciente del municipio, en el que se desglose la siguiente información: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a. Me indique la cantidad de luminarias y balastros, el tipo de equipos, la capacidad (potencia), la ubicación (calle y/o colonia y/o delegación), y el tipo de poste en el que están montadas las luminarias (lámin</w:t>
      </w:r>
      <w:r>
        <w:rPr>
          <w:rFonts w:ascii="Palatino Linotype" w:hAnsi="Palatino Linotype" w:cs="Arial"/>
          <w:i/>
          <w:sz w:val="24"/>
          <w:szCs w:val="24"/>
          <w:lang w:val="es-ES_tradnl" w:eastAsia="es-MX"/>
        </w:rPr>
        <w:t xml:space="preserve">a, concreto, madera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b. El Registro Permanente de Usuario (RPU o RPUs) asignado (s) al servicio de alumbrado público municipal tanto del servicio estimado como del servicio medido</w:t>
      </w:r>
      <w:r>
        <w:rPr>
          <w:rFonts w:ascii="Palatino Linotype" w:hAnsi="Palatino Linotype" w:cs="Arial"/>
          <w:i/>
          <w:sz w:val="24"/>
          <w:szCs w:val="24"/>
          <w:lang w:val="es-ES_tradnl" w:eastAsia="es-MX"/>
        </w:rPr>
        <w:t xml:space="preserve">.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c. La cantidad desglosada de luminarias y balastros instalados, el tipo de equipos y su capacidad (potencia) instalados en las aveni</w:t>
      </w:r>
      <w:r>
        <w:rPr>
          <w:rFonts w:ascii="Palatino Linotype" w:hAnsi="Palatino Linotype" w:cs="Arial"/>
          <w:i/>
          <w:sz w:val="24"/>
          <w:szCs w:val="24"/>
          <w:lang w:val="es-ES_tradnl" w:eastAsia="es-MX"/>
        </w:rPr>
        <w:t xml:space="preserve">das principales del municipio.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d. La cantidad de luminarias y balastros instalados, el tipo de equipos y su capacidad (potencia) instalados </w:t>
      </w:r>
      <w:r>
        <w:rPr>
          <w:rFonts w:ascii="Palatino Linotype" w:hAnsi="Palatino Linotype" w:cs="Arial"/>
          <w:i/>
          <w:sz w:val="24"/>
          <w:szCs w:val="24"/>
          <w:lang w:val="es-ES_tradnl" w:eastAsia="es-MX"/>
        </w:rPr>
        <w:t xml:space="preserve">que poseen equipo de medición.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7. Del censo anterior al censo más reciente de luminarias y balastros del sistema de alumbrado público municipal que exista en el municipio, que cont</w:t>
      </w:r>
      <w:r>
        <w:rPr>
          <w:rFonts w:ascii="Palatino Linotype" w:hAnsi="Palatino Linotype" w:cs="Arial"/>
          <w:i/>
          <w:sz w:val="24"/>
          <w:szCs w:val="24"/>
          <w:lang w:val="es-ES_tradnl" w:eastAsia="es-MX"/>
        </w:rPr>
        <w:t xml:space="preserve">enga la siguiente información: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e. La cantidad de luminarias y balastros, el tipo de equipos, la capacidad (potencia), la ubicación (calle y/o colonia y/o delegación) y el tipo de poste en el que están montadas las luminarias (lámina, concreto, madera,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f. El Registro Permanente de Usuario (RPU o RPUs) asignado (s) al servicio de alumbrado público municipal tanto del servicio esti</w:t>
      </w:r>
      <w:r>
        <w:rPr>
          <w:rFonts w:ascii="Palatino Linotype" w:hAnsi="Palatino Linotype" w:cs="Arial"/>
          <w:i/>
          <w:sz w:val="24"/>
          <w:szCs w:val="24"/>
          <w:lang w:val="es-ES_tradnl" w:eastAsia="es-MX"/>
        </w:rPr>
        <w:t xml:space="preserve">mado como del servicio medido.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III.- COBERTURA (EXPANSIÓN) DE</w:t>
      </w:r>
      <w:r>
        <w:rPr>
          <w:rFonts w:ascii="Palatino Linotype" w:hAnsi="Palatino Linotype" w:cs="Arial"/>
          <w:i/>
          <w:sz w:val="24"/>
          <w:szCs w:val="24"/>
          <w:lang w:val="es-ES_tradnl" w:eastAsia="es-MX"/>
        </w:rPr>
        <w:t>L SISTEMA DE ALUMBRADO PÚBLICO.</w:t>
      </w:r>
      <w:r w:rsidRPr="002A1DA7">
        <w:rPr>
          <w:rFonts w:ascii="Palatino Linotype" w:hAnsi="Palatino Linotype" w:cs="Arial"/>
          <w:i/>
          <w:sz w:val="24"/>
          <w:szCs w:val="24"/>
          <w:lang w:val="es-ES_tradnl" w:eastAsia="es-MX"/>
        </w:rPr>
        <w:t xml:space="preserve">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8. En caso de que el municipio haya realizado un proyecto de electrificación para ampliar el sistema de alumbrado público y ofrecer este servicio a la o las comunidades durante los años 2013, 2014, 2015, 2016, 2017 y los meses que van de 2018, solicito la sig</w:t>
      </w:r>
      <w:r>
        <w:rPr>
          <w:rFonts w:ascii="Palatino Linotype" w:hAnsi="Palatino Linotype" w:cs="Arial"/>
          <w:i/>
          <w:sz w:val="24"/>
          <w:szCs w:val="24"/>
          <w:lang w:val="es-ES_tradnl" w:eastAsia="es-MX"/>
        </w:rPr>
        <w:t xml:space="preserve">uiente información desglosada: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a. El monto total de la inversión,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b. El tipo o fuente de financiamiento (recurso propio, recurso estatal, recurso federal, crédito, arrendamiento, APP,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c. La cantidad de equipos colocados y/o sustituidos,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d. El tipo de equipos (Led, VSAP, suburbana,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e. La capacidad instalada (potencia),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f. La ubicación (calle y/o colonia y/o delegación).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g. La fecha de inicio y término de obra,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h. Así como la fecha de modificación de su nuevo consumo en el sistema de facturación del alumbrado público ante CFE.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i. En donde se notificar</w:t>
      </w:r>
      <w:r>
        <w:rPr>
          <w:rFonts w:ascii="Palatino Linotype" w:hAnsi="Palatino Linotype" w:cs="Arial"/>
          <w:i/>
          <w:sz w:val="24"/>
          <w:szCs w:val="24"/>
          <w:lang w:val="es-ES_tradnl" w:eastAsia="es-MX"/>
        </w:rPr>
        <w:t xml:space="preserve">on o publicaron los proyectos.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IV.- MODERNIZACIÓN DEL SISTEMA DE ALUMBRADO PÚBLICO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a. El monto total de la inversión,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b. El tipo o fuente de financiamiento (recurso propio, recurso estatal, recurso federal, crédito, arrendamiento, APP,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c. La cantidad de equipos colocados y/o sustituidos,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d. El tipo de equipos (Led, VSAP, suburbana, etcétera),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e. La capacidad instalada (potencia),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f. La ubicación (calle y/o colonia y/o delegación).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g. La fecha de inicio y término de obra,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h. La georreferenciación de cada uno de los puntos de luz del nuevo alumbrado público,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i. La fecha de modificación de su nuevo consumo en el sistema de facturación del alumbrado público ante CFE.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 xml:space="preserve">j. El tipo de contrato celebrado para la adquisición de los nuevos equipos (licitación en su modalidad abierta o restringida, o adjudicación directa)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k. Número y nombre de las empresas concursantes o convocadas.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l. Los criterios de selección utilizados por el comité de adquisiciones para elegir a la empresa contratada para realizar la modernización del sistema de alumbrado público.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m. El acta de cabildo en el cual se fundamenta, justifica, </w:t>
      </w:r>
      <w:r>
        <w:rPr>
          <w:rFonts w:ascii="Palatino Linotype" w:hAnsi="Palatino Linotype" w:cs="Arial"/>
          <w:i/>
          <w:sz w:val="24"/>
          <w:szCs w:val="24"/>
          <w:lang w:val="es-ES_tradnl" w:eastAsia="es-MX"/>
        </w:rPr>
        <w:t xml:space="preserve">expone y autoriza el proyecto.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10. El número de solicitudes ciudadanas formales realizadas al municipio para ampliar el sistema de alumbrado público mediante proyectos de electrificación durante los años 2013, 2014, 2015, 2016, 201</w:t>
      </w:r>
      <w:r>
        <w:rPr>
          <w:rFonts w:ascii="Palatino Linotype" w:hAnsi="Palatino Linotype" w:cs="Arial"/>
          <w:i/>
          <w:sz w:val="24"/>
          <w:szCs w:val="24"/>
          <w:lang w:val="es-ES_tradnl" w:eastAsia="es-MX"/>
        </w:rPr>
        <w:t xml:space="preserve">7 y los meses que van de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11. El número de solicitudes ciudadanas que fueron atendidas y concluidas para ampliar el sistema de alumbrado público durante los años 2013, 2014, 2015, 2016, 2017 y los meses que van del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V.- ADMINISTRACIÓN DEL SERVICIO DE ALUMBRADO PÚBLICO.</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lastRenderedPageBreak/>
        <w:t>1. Se solicita Copia del contrato de prestación de servicios por concepto de suministro de energía eléctrica por parte de la CF</w:t>
      </w:r>
      <w:r>
        <w:rPr>
          <w:rFonts w:ascii="Palatino Linotype" w:hAnsi="Palatino Linotype" w:cs="Arial"/>
          <w:i/>
          <w:sz w:val="24"/>
          <w:szCs w:val="24"/>
          <w:lang w:val="es-ES_tradnl" w:eastAsia="es-MX"/>
        </w:rPr>
        <w:t xml:space="preserve">E al municipio (ayuntamiento).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2. Se solicita Copia del convenio de “Peso por Peso” firmado entre la CFE </w:t>
      </w:r>
      <w:r>
        <w:rPr>
          <w:rFonts w:ascii="Palatino Linotype" w:hAnsi="Palatino Linotype" w:cs="Arial"/>
          <w:i/>
          <w:sz w:val="24"/>
          <w:szCs w:val="24"/>
          <w:lang w:val="es-ES_tradnl" w:eastAsia="es-MX"/>
        </w:rPr>
        <w:t xml:space="preserve">y el municipio (ayuntamiento).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 xml:space="preserve">3. Se solicita Copia del convenio para recaudar el Derecho de Alumbrado Público “DAP” firmado entre la CFE y el municipio (ayuntamiento). Así como la recaudación (monto) reportado por CFE al municipio de los años 2013, 2014, 2015, 2016, 2017 y los meses que van de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4. El listado y/o número de juicios y controversias promovidos por particulares en contra del municipio por el cobro del Derecho de Alumbrado Público “DAP” durante los años 2013, 2014, 2015, 2016, 201</w:t>
      </w:r>
      <w:r>
        <w:rPr>
          <w:rFonts w:ascii="Palatino Linotype" w:hAnsi="Palatino Linotype" w:cs="Arial"/>
          <w:i/>
          <w:sz w:val="24"/>
          <w:szCs w:val="24"/>
          <w:lang w:val="es-ES_tradnl" w:eastAsia="es-MX"/>
        </w:rPr>
        <w:t xml:space="preserve">7 y los meses que van de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5. El listado y/o número de juicios y controversias perdidos y ganados por el ayuntamiento (municipio) ante los particulares que reclaman el pago indebido del Derecho de Alumbrado Público durante los años 2013, 2014, 2015, 2016, 201</w:t>
      </w:r>
      <w:r>
        <w:rPr>
          <w:rFonts w:ascii="Palatino Linotype" w:hAnsi="Palatino Linotype" w:cs="Arial"/>
          <w:i/>
          <w:sz w:val="24"/>
          <w:szCs w:val="24"/>
          <w:lang w:val="es-ES_tradnl" w:eastAsia="es-MX"/>
        </w:rPr>
        <w:t xml:space="preserve">7 y los meses que van de 2018. </w:t>
      </w:r>
    </w:p>
    <w:p w:rsidR="002A1DA7" w:rsidRPr="002A1DA7" w:rsidRDefault="002A1DA7" w:rsidP="002A1DA7">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2A1DA7">
        <w:rPr>
          <w:rFonts w:ascii="Palatino Linotype" w:hAnsi="Palatino Linotype" w:cs="Arial"/>
          <w:i/>
          <w:sz w:val="24"/>
          <w:szCs w:val="24"/>
          <w:lang w:val="es-ES_tradnl" w:eastAsia="es-MX"/>
        </w:rPr>
        <w:t>6. Las normas y lineamientos que el municipio sigue para operar y proporcionar el servicio de alumbrado público municipal.” (Sic).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2A1DA7">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2A1DA7">
        <w:rPr>
          <w:rFonts w:ascii="Palatino Linotype" w:eastAsia="Calibri" w:hAnsi="Palatino Linotype" w:cs="Arial"/>
          <w:sz w:val="24"/>
          <w:szCs w:val="24"/>
        </w:rPr>
        <w:t>l</w:t>
      </w:r>
      <w:r w:rsidR="002A1DA7" w:rsidRPr="002A1DA7">
        <w:t xml:space="preserve"> </w:t>
      </w:r>
      <w:r w:rsidR="002A1DA7" w:rsidRPr="002A1DA7">
        <w:rPr>
          <w:rFonts w:ascii="Palatino Linotype" w:eastAsia="Calibri" w:hAnsi="Palatino Linotype" w:cs="Arial"/>
          <w:b/>
          <w:sz w:val="24"/>
          <w:szCs w:val="24"/>
        </w:rPr>
        <w:t>Ayuntamiento de Chapultepec</w:t>
      </w:r>
      <w:r w:rsidR="00FA571E" w:rsidRPr="002A1DA7">
        <w:rPr>
          <w:rFonts w:ascii="Palatino Linotype" w:hAnsi="Palatino Linotype" w:cs="Arial"/>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2A1DA7">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2A1DA7">
        <w:rPr>
          <w:rFonts w:ascii="Palatino Linotype" w:hAnsi="Palatino Linotype" w:cs="Arial"/>
          <w:b/>
          <w:sz w:val="24"/>
          <w:szCs w:val="24"/>
        </w:rPr>
        <w:t xml:space="preserve">l </w:t>
      </w:r>
      <w:r w:rsidR="002A1DA7" w:rsidRPr="002A1DA7">
        <w:rPr>
          <w:rFonts w:ascii="Palatino Linotype" w:hAnsi="Palatino Linotype" w:cs="Arial"/>
          <w:b/>
          <w:sz w:val="24"/>
          <w:szCs w:val="24"/>
        </w:rPr>
        <w:t>Ayuntamiento de Chapultepec</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Del periodo del uno de enero de dos mil trece al trece de noviembre de dos mil dieciocho: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w:t>
      </w:r>
      <w:r w:rsidRPr="002A1DA7">
        <w:rPr>
          <w:rFonts w:ascii="Palatino Linotype" w:hAnsi="Palatino Linotype"/>
          <w:sz w:val="24"/>
          <w:szCs w:val="24"/>
        </w:rPr>
        <w:tab/>
        <w:t>Documento o documentos en donde conste el importe por concepto de alumbrado público facturado por la CFE.</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2.</w:t>
      </w:r>
      <w:r w:rsidRPr="002A1DA7">
        <w:rPr>
          <w:rFonts w:ascii="Palatino Linotype" w:hAnsi="Palatino Linotype"/>
          <w:sz w:val="24"/>
          <w:szCs w:val="24"/>
        </w:rPr>
        <w:tab/>
        <w:t>Soporte documental en donde conste la partida (s) presupuestal (es)  y monto (s) erogado (s) y pagado (s) para cubrir las facturas por concepto de consumo de energía eléctrica y el mantenimiento del sistema de alumbrado público.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3.</w:t>
      </w:r>
      <w:r w:rsidRPr="002A1DA7">
        <w:rPr>
          <w:rFonts w:ascii="Palatino Linotype" w:hAnsi="Palatino Linotype"/>
          <w:sz w:val="24"/>
          <w:szCs w:val="24"/>
        </w:rPr>
        <w:tab/>
        <w:t xml:space="preserve">Documento o documentos en donde conste el número de luminarias sustituidas, arregladas o transformadas así como sus características y lugar </w:t>
      </w:r>
      <w:r w:rsidRPr="002A1DA7">
        <w:rPr>
          <w:rFonts w:ascii="Palatino Linotype" w:hAnsi="Palatino Linotype"/>
          <w:sz w:val="24"/>
          <w:szCs w:val="24"/>
        </w:rPr>
        <w:lastRenderedPageBreak/>
        <w:t>de ubicación, derivado del mantenimiento preventivo o correctivo del sistema de alumbrado público.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4.</w:t>
      </w:r>
      <w:r w:rsidRPr="002A1DA7">
        <w:rPr>
          <w:rFonts w:ascii="Palatino Linotype" w:hAnsi="Palatino Linotype"/>
          <w:sz w:val="24"/>
          <w:szCs w:val="24"/>
        </w:rPr>
        <w:tab/>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5.</w:t>
      </w:r>
      <w:r w:rsidRPr="002A1DA7">
        <w:rPr>
          <w:rFonts w:ascii="Palatino Linotype" w:hAnsi="Palatino Linotype"/>
          <w:sz w:val="24"/>
          <w:szCs w:val="24"/>
        </w:rPr>
        <w:tab/>
        <w:t>En el supuesto de haberse realizado proyectos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lastRenderedPageBreak/>
        <w:t>6.</w:t>
      </w:r>
      <w:r w:rsidRPr="002A1DA7">
        <w:rPr>
          <w:rFonts w:ascii="Palatino Linotype" w:hAnsi="Palatino Linotype"/>
          <w:sz w:val="24"/>
          <w:szCs w:val="24"/>
        </w:rPr>
        <w:tab/>
        <w:t>Documento o documentos donde se desprenda el número de solicitudes para ampliar el sistema de alumbrado público mediante proyectos de electrificación, así como las atendidas y concluidas.</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7.</w:t>
      </w:r>
      <w:r w:rsidRPr="002A1DA7">
        <w:rPr>
          <w:rFonts w:ascii="Palatino Linotype" w:hAnsi="Palatino Linotype"/>
          <w:sz w:val="24"/>
          <w:szCs w:val="24"/>
        </w:rPr>
        <w:tab/>
        <w:t>Convenio (s) para recaudar el Derecho de Alumbrado Público celebrado con la Comisión Federal de Electricidad.</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8.</w:t>
      </w:r>
      <w:r w:rsidRPr="002A1DA7">
        <w:rPr>
          <w:rFonts w:ascii="Palatino Linotype" w:hAnsi="Palatino Linotype"/>
          <w:sz w:val="24"/>
          <w:szCs w:val="24"/>
        </w:rPr>
        <w:tab/>
        <w:t>Soporte documental que contenga el (los)  monto (s) recaudado (s) por la CFE por concepto de DAP a favor del Sujeto Obligado.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9.</w:t>
      </w:r>
      <w:r w:rsidRPr="002A1DA7">
        <w:rPr>
          <w:rFonts w:ascii="Palatino Linotype" w:hAnsi="Palatino Linotype"/>
          <w:sz w:val="24"/>
          <w:szCs w:val="24"/>
        </w:rPr>
        <w:tab/>
        <w:t>Documento o documentos donde conste el número de juicios y/o controversias promovidos por particulares, por el cobro del Derecho de Alumbrado Público, que en su caso contenga el sentido de la resolución.</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 xml:space="preserve">De los ejercicios 2016, 2017 o el más actualizado al 2018 </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10.</w:t>
      </w:r>
      <w:r w:rsidRPr="002A1DA7">
        <w:rPr>
          <w:rFonts w:ascii="Palatino Linotype" w:hAnsi="Palatino Linotype"/>
          <w:sz w:val="24"/>
          <w:szCs w:val="24"/>
        </w:rPr>
        <w:tab/>
        <w:t>Censo o el documento análogo donde conste el número de luminarias y balastros en el municipio que contenga las instaladas en avenidas principales, así como sus características y lugares de ubicación.</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11.</w:t>
      </w:r>
      <w:r w:rsidRPr="002A1DA7">
        <w:rPr>
          <w:rFonts w:ascii="Palatino Linotype" w:hAnsi="Palatino Linotype"/>
          <w:sz w:val="24"/>
          <w:szCs w:val="24"/>
        </w:rPr>
        <w:tab/>
        <w:t>Soporte documental de donde se advierta el Registro Móvil de Usuario (RMU) asignado al servicio de alumbrado público.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12.</w:t>
      </w:r>
      <w:r w:rsidRPr="002A1DA7">
        <w:rPr>
          <w:rFonts w:ascii="Palatino Linotype" w:hAnsi="Palatino Linotype"/>
          <w:sz w:val="24"/>
          <w:szCs w:val="24"/>
        </w:rPr>
        <w:tab/>
        <w:t>Documento en donde conste el monto y fecha del adeudo por concepto de consumo de energía eléctrica en el alumbrado público, actualizado al trece de noviembre de dos mil dieciocho.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13.</w:t>
      </w:r>
      <w:r w:rsidRPr="002A1DA7">
        <w:rPr>
          <w:rFonts w:ascii="Palatino Linotype" w:hAnsi="Palatino Linotype"/>
          <w:sz w:val="24"/>
          <w:szCs w:val="24"/>
        </w:rPr>
        <w:tab/>
        <w:t>El (los) último (s) Contrato (s) celebrado (s) con la Comisión Federal de Electricidad por concepto de suministro de energía eléctrica a la fecha de la solicitud.</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lastRenderedPageBreak/>
        <w:t>14.</w:t>
      </w:r>
      <w:r w:rsidRPr="002A1DA7">
        <w:rPr>
          <w:rFonts w:ascii="Palatino Linotype" w:hAnsi="Palatino Linotype"/>
          <w:sz w:val="24"/>
          <w:szCs w:val="24"/>
        </w:rPr>
        <w:tab/>
        <w:t>El último convenio denominado “Peso por Peso”, celebrado con la Comisión Federal de Electricidad, a la fecha de la solicitud.</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15.</w:t>
      </w:r>
      <w:r w:rsidRPr="002A1DA7">
        <w:rPr>
          <w:rFonts w:ascii="Palatino Linotype" w:hAnsi="Palatino Linotype"/>
          <w:sz w:val="24"/>
          <w:szCs w:val="24"/>
        </w:rPr>
        <w:tab/>
        <w:t>Normatividad vigente al trece de noviembre dos mil dieciocho, para operar y proporcionar el servicio de alumbrado público.</w:t>
      </w:r>
    </w:p>
    <w:p w:rsidR="002A1DA7" w:rsidRPr="002A1DA7" w:rsidRDefault="002A1DA7" w:rsidP="002A1DA7">
      <w:pPr>
        <w:pStyle w:val="Prrafodelista"/>
        <w:spacing w:before="120" w:after="120" w:line="360" w:lineRule="auto"/>
        <w:ind w:right="49"/>
        <w:jc w:val="both"/>
        <w:rPr>
          <w:rFonts w:ascii="Palatino Linotype" w:hAnsi="Palatino Linotype"/>
          <w:sz w:val="24"/>
          <w:szCs w:val="24"/>
        </w:rPr>
      </w:pPr>
      <w:r w:rsidRPr="002A1DA7">
        <w:rPr>
          <w:rFonts w:ascii="Palatino Linotype" w:hAnsi="Palatino Linotype"/>
          <w:sz w:val="24"/>
          <w:szCs w:val="24"/>
        </w:rPr>
        <w:t>Para la entrega de la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332757" w:rsidRDefault="002A1DA7" w:rsidP="002A1DA7">
      <w:pPr>
        <w:pStyle w:val="Prrafodelista"/>
        <w:spacing w:before="120" w:after="120" w:line="360" w:lineRule="auto"/>
        <w:ind w:left="0" w:right="49"/>
        <w:jc w:val="both"/>
        <w:rPr>
          <w:rFonts w:ascii="Palatino Linotype" w:hAnsi="Palatino Linotype"/>
          <w:sz w:val="24"/>
          <w:szCs w:val="24"/>
        </w:rPr>
      </w:pPr>
      <w:r w:rsidRPr="002A1DA7">
        <w:rPr>
          <w:rFonts w:ascii="Palatino Linotype" w:hAnsi="Palatino Linotype"/>
          <w:sz w:val="24"/>
          <w:szCs w:val="24"/>
        </w:rPr>
        <w:t>Para el caso, que la información que se ordena en los numerales 4, 5, 6, 9, 12 y 14  no se haya generado o se encuentre en posesión del Sujeto Obligado bastará con que lo haga del conocimiento de la particular.</w:t>
      </w:r>
    </w:p>
    <w:p w:rsidR="002A1DA7" w:rsidRPr="00332757" w:rsidRDefault="002A1DA7" w:rsidP="002A1DA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2A1DA7">
        <w:rPr>
          <w:rFonts w:ascii="Palatino Linotype" w:eastAsia="Times New Roman" w:hAnsi="Palatino Linotype" w:cs="Arial"/>
          <w:sz w:val="24"/>
        </w:rPr>
        <w:t>los numerales 4, 5, 6 ,9, 12 y 14):</w:t>
      </w:r>
    </w:p>
    <w:p w:rsidR="002A1DA7" w:rsidRDefault="002A1DA7" w:rsidP="00720807">
      <w:pPr>
        <w:pStyle w:val="Prrafodelista"/>
        <w:spacing w:before="240" w:after="240" w:line="360" w:lineRule="auto"/>
        <w:ind w:left="0" w:right="49"/>
        <w:jc w:val="both"/>
        <w:rPr>
          <w:rFonts w:ascii="Palatino Linotype" w:eastAsia="Times New Roman" w:hAnsi="Palatino Linotype" w:cs="Arial"/>
          <w:sz w:val="24"/>
        </w:rPr>
      </w:pPr>
    </w:p>
    <w:p w:rsidR="00FA571E" w:rsidRDefault="002A1DA7" w:rsidP="00720807">
      <w:pPr>
        <w:pStyle w:val="Prrafodelista"/>
        <w:spacing w:before="240" w:after="240" w:line="360" w:lineRule="auto"/>
        <w:ind w:left="0" w:right="49"/>
        <w:jc w:val="both"/>
        <w:rPr>
          <w:rFonts w:ascii="Palatino Linotype" w:eastAsia="Times New Roman" w:hAnsi="Palatino Linotype" w:cs="Arial"/>
          <w:sz w:val="24"/>
        </w:rPr>
      </w:pPr>
      <w:r w:rsidRPr="002A1DA7">
        <w:rPr>
          <w:rFonts w:ascii="Palatino Linotype" w:eastAsia="Times New Roman" w:hAnsi="Palatino Linotype" w:cs="Arial"/>
          <w:sz w:val="24"/>
        </w:rPr>
        <w:t>Para el caso, que la información que se ordena en los numerales 4, 5, 6, 9, 12 y 14  no se haya generado o se encuentre en posesión del Sujeto Obligado bastará con que lo haga del conocimiento de la particular.</w:t>
      </w: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27874"/>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2787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C23ED4" w:rsidRPr="00C23ED4" w:rsidRDefault="00C23ED4" w:rsidP="00C23ED4">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262787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1F0" w:rsidRDefault="005721F0" w:rsidP="00E82D3D">
      <w:pPr>
        <w:spacing w:after="0" w:line="240" w:lineRule="auto"/>
      </w:pPr>
      <w:r>
        <w:separator/>
      </w:r>
    </w:p>
  </w:endnote>
  <w:endnote w:type="continuationSeparator" w:id="0">
    <w:p w:rsidR="005721F0" w:rsidRDefault="005721F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45F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45FD">
              <w:rPr>
                <w:b/>
                <w:bCs/>
                <w:noProof/>
              </w:rPr>
              <w:t>37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1F0" w:rsidRDefault="005721F0" w:rsidP="00E82D3D">
      <w:pPr>
        <w:spacing w:after="0" w:line="240" w:lineRule="auto"/>
      </w:pPr>
      <w:r>
        <w:separator/>
      </w:r>
    </w:p>
  </w:footnote>
  <w:footnote w:type="continuationSeparator" w:id="0">
    <w:p w:rsidR="005721F0" w:rsidRDefault="005721F0"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721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721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721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1EFF"/>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269E5"/>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1DA7"/>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145FD"/>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721F0"/>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23ED4"/>
    <w:rsid w:val="00C43E73"/>
    <w:rsid w:val="00C4764C"/>
    <w:rsid w:val="00C544E1"/>
    <w:rsid w:val="00C547F0"/>
    <w:rsid w:val="00C602B8"/>
    <w:rsid w:val="00C6233A"/>
    <w:rsid w:val="00C66C13"/>
    <w:rsid w:val="00C73E2A"/>
    <w:rsid w:val="00C752C4"/>
    <w:rsid w:val="00C753D8"/>
    <w:rsid w:val="00C824DB"/>
    <w:rsid w:val="00C83D11"/>
    <w:rsid w:val="00C84FA5"/>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7E63-4368-4B79-B6C6-BFE2C3B7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7215</Words>
  <Characters>39686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2019-02-25T19:05:00Z</cp:lastPrinted>
  <dcterms:created xsi:type="dcterms:W3CDTF">2019-03-13T23:30:00Z</dcterms:created>
  <dcterms:modified xsi:type="dcterms:W3CDTF">2019-03-13T23:30:00Z</dcterms:modified>
</cp:coreProperties>
</file>